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9016.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63"/>
        <w:gridCol w:w="6753"/>
        <w:tblGridChange w:id="0">
          <w:tblGrid>
            <w:gridCol w:w="2263"/>
            <w:gridCol w:w="6753"/>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Deliverables;</w:t>
      </w:r>
    </w:p>
    <w:p w:rsidR="00000000" w:rsidDel="00000000" w:rsidP="00000000" w:rsidRDefault="00000000" w:rsidRPr="00000000" w14:paraId="0000001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bookmarkStart w:colFirst="0" w:colLast="0" w:name="bookmark=id.gjdgxs" w:id="0"/>
    <w:bookmarkEnd w:id="0"/>
    <w:p w:rsidR="00000000" w:rsidDel="00000000" w:rsidP="00000000" w:rsidRDefault="00000000" w:rsidRPr="00000000" w14:paraId="00000016">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including in the case of the Supplier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3"/>
      <w:bookmarkEnd w:id="3"/>
      <w:r w:rsidDel="00000000" w:rsidR="00000000" w:rsidRPr="00000000">
        <w:rPr>
          <w:rtl w:val="0"/>
        </w:rPr>
      </w:r>
    </w:p>
    <w:p w:rsidR="00000000" w:rsidDel="00000000" w:rsidP="00000000" w:rsidRDefault="00000000" w:rsidRPr="00000000" w14:paraId="0000001A">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bookmarkStart w:colFirst="0" w:colLast="0" w:name="bookmark=id.2et92p0" w:id="4"/>
    <w:bookmarkEnd w:id="4"/>
    <w:p w:rsidR="00000000" w:rsidDel="00000000" w:rsidP="00000000" w:rsidRDefault="00000000" w:rsidRPr="00000000" w14:paraId="0000001D">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w:t>
      </w:r>
    </w:p>
    <w:p w:rsidR="00000000" w:rsidDel="00000000" w:rsidP="00000000" w:rsidRDefault="00000000" w:rsidRPr="00000000" w14:paraId="0000001E">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 of the Core Terms;</w:t>
      </w:r>
    </w:p>
    <w:p w:rsidR="00000000" w:rsidDel="00000000" w:rsidP="00000000" w:rsidRDefault="00000000" w:rsidRPr="00000000" w14:paraId="00000021">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3"/>
        </w:numPr>
        <w:pBdr>
          <w:top w:space="0" w:sz="0" w:val="nil"/>
          <w:left w:space="0" w:sz="0" w:val="nil"/>
          <w:bottom w:space="0" w:sz="0" w:val="nil"/>
          <w:right w:space="0" w:sz="0" w:val="nil"/>
          <w:between w:space="0" w:sz="0" w:val="nil"/>
        </w:pBdr>
        <w:spacing w:after="120" w:line="240" w:lineRule="auto"/>
        <w:ind w:left="2836"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UK or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1t3h5sf" w:id="7"/>
    <w:bookmarkEnd w:id="7"/>
    <w:p w:rsidR="00000000" w:rsidDel="00000000" w:rsidP="00000000" w:rsidRDefault="00000000" w:rsidRPr="00000000" w14:paraId="00000026">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numPr>
          <w:ilvl w:val="3"/>
          <w:numId w:val="13"/>
        </w:numPr>
        <w:pBdr>
          <w:top w:space="0" w:sz="0" w:val="nil"/>
          <w:left w:space="0" w:sz="0" w:val="nil"/>
          <w:bottom w:space="0" w:sz="0" w:val="nil"/>
          <w:right w:space="0" w:sz="0" w:val="nil"/>
          <w:between w:space="0" w:sz="0" w:val="nil"/>
        </w:pBdr>
        <w:tabs>
          <w:tab w:val="left" w:pos="2261"/>
        </w:tabs>
        <w:spacing w:after="12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8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7 of this Joint Schedule 11 shall include the provision of further information to the Controller, as details become available. </w:t>
      </w:r>
    </w:p>
    <w:p w:rsidR="00000000" w:rsidDel="00000000" w:rsidP="00000000" w:rsidRDefault="00000000" w:rsidRPr="00000000" w14:paraId="00000032">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7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bookmarkStart w:colFirst="0" w:colLast="0" w:name="_heading=h.26in1rg"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bookmarkStart w:colFirst="0" w:colLast="0" w:name="bookmark=id.lnxbz9" w:id="13"/>
    <w:bookmarkEnd w:id="13"/>
    <w:p w:rsidR="00000000" w:rsidDel="00000000" w:rsidP="00000000" w:rsidRDefault="00000000" w:rsidRPr="00000000" w14:paraId="0000003C">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3"/>
        </w:numPr>
        <w:pBdr>
          <w:top w:space="0" w:sz="0" w:val="nil"/>
          <w:left w:space="0" w:sz="0" w:val="nil"/>
          <w:bottom w:space="0" w:sz="0" w:val="nil"/>
          <w:right w:space="0" w:sz="0" w:val="nil"/>
          <w:between w:space="0" w:sz="0" w:val="nil"/>
        </w:pBdr>
        <w:spacing w:after="12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bookmarkStart w:colFirst="0" w:colLast="0" w:name="bookmark=id.35nkun2" w:id="14"/>
    <w:bookmarkEnd w:id="14"/>
    <w:p w:rsidR="00000000" w:rsidDel="00000000" w:rsidP="00000000" w:rsidRDefault="00000000" w:rsidRPr="00000000" w14:paraId="00000044">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Supplier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18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54">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3"/>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3"/>
        </w:numPr>
        <w:pBdr>
          <w:top w:space="0" w:sz="0" w:val="nil"/>
          <w:left w:space="0" w:sz="0" w:val="nil"/>
          <w:bottom w:space="0" w:sz="0" w:val="nil"/>
          <w:right w:space="0" w:sz="0" w:val="nil"/>
          <w:between w:space="0" w:sz="0" w:val="nil"/>
        </w:pBdr>
        <w:spacing w:after="120" w:before="280" w:line="240" w:lineRule="auto"/>
        <w:ind w:left="7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Supplier is required to exercise its regulatory and/or legal obligations in respect of Personal Data, it shall act as an Independent Controller of Personal Data in accordance with paragraphs 18 to 28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pStyle w:val="Heading2"/>
        <w:spacing w:after="240" w:before="0" w:lineRule="auto"/>
        <w:ind w:left="709" w:hanging="709"/>
        <w:rPr>
          <w:rFonts w:ascii="Arial" w:cs="Arial" w:eastAsia="Arial" w:hAnsi="Arial"/>
          <w:b w:val="0"/>
          <w:sz w:val="24"/>
          <w:szCs w:val="24"/>
        </w:rPr>
      </w:pPr>
      <w:r w:rsidDel="00000000" w:rsidR="00000000" w:rsidRPr="00000000">
        <w:br w:type="page"/>
      </w:r>
      <w:r w:rsidDel="00000000" w:rsidR="00000000" w:rsidRPr="00000000">
        <w:rPr>
          <w:rFonts w:ascii="Arial" w:cs="Arial" w:eastAsia="Arial" w:hAnsi="Arial"/>
          <w:sz w:val="24"/>
          <w:szCs w:val="24"/>
          <w:rtl w:val="0"/>
        </w:rPr>
        <w:t xml:space="preserve">Annex 1 - Processing Personal Data</w:t>
      </w:r>
      <w:r w:rsidDel="00000000" w:rsidR="00000000" w:rsidRPr="00000000">
        <w:rPr>
          <w:rtl w:val="0"/>
        </w:rPr>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4">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contact details of the Supplier’s Data Protection Officer are: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Contact details]</w:t>
      </w:r>
    </w:p>
    <w:p w:rsidR="00000000" w:rsidDel="00000000" w:rsidP="00000000" w:rsidRDefault="00000000" w:rsidRPr="00000000" w14:paraId="00000065">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6"/>
        </w:numPr>
        <w:spacing w:after="0" w:line="240" w:lineRule="auto"/>
        <w:ind w:left="720" w:hanging="72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jc w:val="cente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Supplier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3 to paragraph 16 and for the purposes of the Data Protection Legislation, the Relevant Authority is the Controller and the Supplier is the Processor of the following Personal Data:</w:t>
            </w:r>
          </w:p>
          <w:p w:rsidR="00000000" w:rsidDel="00000000" w:rsidP="00000000" w:rsidRDefault="00000000" w:rsidRPr="00000000" w14:paraId="0000006D">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Supplier is determined by the Relevant Authority]</w:t>
            </w:r>
          </w:p>
          <w:p w:rsidR="00000000" w:rsidDel="00000000" w:rsidP="00000000" w:rsidRDefault="00000000" w:rsidRPr="00000000" w14:paraId="0000006F">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0">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Supplier is Controller and the Relevant Authority is Processor</w:t>
            </w:r>
          </w:p>
          <w:p w:rsidR="00000000" w:rsidDel="00000000" w:rsidP="00000000" w:rsidRDefault="00000000" w:rsidRPr="00000000" w14:paraId="00000071">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2">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for the purposes of the Data Protection Legislation, the Supplier is the Controller and the Relevant Authority is the Processor in accordance with paragraph </w:t>
            </w:r>
            <w:r w:rsidDel="00000000" w:rsidR="00000000" w:rsidRPr="00000000">
              <w:rPr>
                <w:rFonts w:ascii="Arial" w:cs="Arial" w:eastAsia="Arial" w:hAnsi="Arial"/>
                <w:sz w:val="24"/>
                <w:szCs w:val="24"/>
                <w:rtl w:val="0"/>
              </w:rPr>
              <w:t xml:space="preserve">3 </w:t>
            </w:r>
            <w:r w:rsidDel="00000000" w:rsidR="00000000" w:rsidRPr="00000000">
              <w:rPr>
                <w:rFonts w:ascii="Arial" w:cs="Arial" w:eastAsia="Arial" w:hAnsi="Arial"/>
                <w:i w:val="1"/>
                <w:sz w:val="24"/>
                <w:szCs w:val="24"/>
                <w:rtl w:val="0"/>
              </w:rPr>
              <w:t xml:space="preserve">to paragraph 16</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i w:val="1"/>
                <w:sz w:val="24"/>
                <w:szCs w:val="24"/>
                <w:rtl w:val="0"/>
              </w:rPr>
              <w:t xml:space="preserve">of the following Personal Data:</w:t>
            </w:r>
          </w:p>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numPr>
                <w:ilvl w:val="0"/>
                <w:numId w:val="7"/>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by the Relevant Authority  is determined by the Supplier]</w:t>
            </w:r>
          </w:p>
          <w:p w:rsidR="00000000" w:rsidDel="00000000" w:rsidP="00000000" w:rsidRDefault="00000000" w:rsidRPr="00000000" w14:paraId="00000075">
            <w:pPr>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Joint Controllers</w:t>
            </w:r>
          </w:p>
          <w:p w:rsidR="00000000" w:rsidDel="00000000" w:rsidP="00000000" w:rsidRDefault="00000000" w:rsidRPr="00000000" w14:paraId="00000077">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8">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Joint Controllers for the purposes of the Data Protection Legislation in respect of:</w:t>
            </w:r>
          </w:p>
          <w:p w:rsidR="00000000" w:rsidDel="00000000" w:rsidP="00000000" w:rsidRDefault="00000000" w:rsidRPr="00000000" w14:paraId="00000079">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A">
            <w:pPr>
              <w:numPr>
                <w:ilvl w:val="0"/>
                <w:numId w:val="4"/>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Personal Data which the purposes and means of the Processing is determined by the both Parties together]</w:t>
            </w:r>
          </w:p>
          <w:p w:rsidR="00000000" w:rsidDel="00000000" w:rsidP="00000000" w:rsidRDefault="00000000" w:rsidRPr="00000000" w14:paraId="0000007B">
            <w:pP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C">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7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Parties are Independent Controllers of Personal Data</w:t>
            </w:r>
          </w:p>
          <w:p w:rsidR="00000000" w:rsidDel="00000000" w:rsidP="00000000" w:rsidRDefault="00000000" w:rsidRPr="00000000" w14:paraId="0000007E">
            <w:pPr>
              <w:rPr>
                <w:rFonts w:ascii="Arial" w:cs="Arial" w:eastAsia="Arial" w:hAnsi="Arial"/>
                <w:b w:val="1"/>
                <w:i w:val="1"/>
                <w:sz w:val="24"/>
                <w:szCs w:val="24"/>
                <w:highlight w:val="yellow"/>
              </w:rPr>
            </w:pPr>
            <w:r w:rsidDel="00000000" w:rsidR="00000000" w:rsidRPr="00000000">
              <w:rPr>
                <w:rtl w:val="0"/>
              </w:rPr>
            </w:r>
          </w:p>
          <w:p w:rsidR="00000000" w:rsidDel="00000000" w:rsidP="00000000" w:rsidRDefault="00000000" w:rsidRPr="00000000" w14:paraId="0000007F">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Parties acknowledge that they are Independent Controllers for the purposes of the Data Protection Legislation in respect of:</w:t>
            </w:r>
          </w:p>
          <w:p w:rsidR="00000000" w:rsidDel="00000000" w:rsidP="00000000" w:rsidRDefault="00000000" w:rsidRPr="00000000" w14:paraId="00000080">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Supplier Personnel for which the Supplier is the Controller,</w:t>
            </w:r>
          </w:p>
          <w:p w:rsidR="00000000" w:rsidDel="00000000" w:rsidP="00000000" w:rsidRDefault="00000000" w:rsidRPr="00000000" w14:paraId="00000081">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i w:val="1"/>
                <w:color w:val="000000"/>
                <w:sz w:val="24"/>
                <w:szCs w:val="24"/>
                <w:rtl w:val="0"/>
              </w:rPr>
              <w:t xml:space="preserve">Business contact details of any</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directors, officers, employees, agents, consultants and contractors of Relevant Authority (excluding the Supplier Personnel) engaged in the performance of the Relevant Authority’s duties under the Contract) for which the Relevant Authority is the Controller,</w:t>
            </w:r>
          </w:p>
          <w:p w:rsidR="00000000" w:rsidDel="00000000" w:rsidP="00000000" w:rsidRDefault="00000000" w:rsidRPr="00000000" w14:paraId="00000082">
            <w:pPr>
              <w:numPr>
                <w:ilvl w:val="0"/>
                <w:numId w:val="3"/>
              </w:numPr>
              <w:pBdr>
                <w:top w:space="0" w:sz="0" w:val="nil"/>
                <w:left w:space="0" w:sz="0" w:val="nil"/>
                <w:bottom w:space="0" w:sz="0" w:val="nil"/>
                <w:right w:space="0" w:sz="0" w:val="nil"/>
                <w:between w:space="0" w:sz="0" w:val="nil"/>
              </w:pBdr>
              <w:spacing w:after="0" w:line="240" w:lineRule="auto"/>
              <w:ind w:left="720" w:hanging="360"/>
              <w:jc w:val="both"/>
              <w:rPr>
                <w:rFonts w:ascii="Arial" w:cs="Arial" w:eastAsia="Arial" w:hAnsi="Arial"/>
                <w:i w:val="1"/>
                <w:color w:val="000000"/>
                <w:sz w:val="24"/>
                <w:szCs w:val="24"/>
              </w:rPr>
            </w:pPr>
            <w:r w:rsidDel="00000000" w:rsidR="00000000" w:rsidRPr="00000000">
              <w:rPr>
                <w:rFonts w:ascii="Arial" w:cs="Arial" w:eastAsia="Arial" w:hAnsi="Arial"/>
                <w:b w:val="1"/>
                <w:i w:val="1"/>
                <w:color w:val="000000"/>
                <w:sz w:val="24"/>
                <w:szCs w:val="24"/>
                <w:highlight w:val="yellow"/>
                <w:rtl w:val="0"/>
              </w:rPr>
              <w:t xml:space="preserve">[Insert</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Arial" w:cs="Arial" w:eastAsia="Arial" w:hAnsi="Arial"/>
                <w:i w:val="1"/>
                <w:color w:val="000000"/>
                <w:sz w:val="24"/>
                <w:szCs w:val="24"/>
                <w:rtl w:val="0"/>
              </w:rPr>
              <w:t xml:space="preserve">the scope of other Personal Data provided by one Party who is Controller to the other Party who will separately determine the nature and purposes of its Processing the Personal Data on receipt e.g. where (1) the Supplier has professional or regulatory obligations in respect of Personal Data received, (2) a standardised service is such that the Relevant Authority cannot dictate the way in which Personal Data is processed by the Supplier, or (3) where the  Supplier comes to the transaction with Personal Data for which it is already Controller for use by the Relevant Authority] </w:t>
            </w:r>
          </w:p>
          <w:p w:rsidR="00000000" w:rsidDel="00000000" w:rsidP="00000000" w:rsidRDefault="00000000" w:rsidRPr="00000000" w14:paraId="00000083">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p>
          <w:p w:rsidR="00000000" w:rsidDel="00000000" w:rsidP="00000000" w:rsidRDefault="00000000" w:rsidRPr="00000000" w14:paraId="00000084">
            <w:pPr>
              <w:rPr>
                <w:rFonts w:ascii="Arial" w:cs="Arial" w:eastAsia="Arial" w:hAnsi="Arial"/>
                <w:i w:val="1"/>
                <w:sz w:val="24"/>
                <w:szCs w:val="24"/>
              </w:rPr>
            </w:pPr>
            <w:r w:rsidDel="00000000" w:rsidR="00000000" w:rsidRPr="00000000">
              <w:rPr>
                <w:rFonts w:ascii="Arial" w:cs="Arial" w:eastAsia="Arial" w:hAnsi="Arial"/>
                <w:b w:val="1"/>
                <w:i w:val="1"/>
                <w:sz w:val="24"/>
                <w:szCs w:val="24"/>
                <w:highlight w:val="yellow"/>
                <w:rtl w:val="0"/>
              </w:rPr>
              <w:t xml:space="preserve">[Guidance</w:t>
            </w:r>
            <w:r w:rsidDel="00000000" w:rsidR="00000000" w:rsidRPr="00000000">
              <w:rPr>
                <w:rFonts w:ascii="Arial" w:cs="Arial" w:eastAsia="Arial" w:hAnsi="Arial"/>
                <w:b w:val="1"/>
                <w:i w:val="1"/>
                <w:sz w:val="24"/>
                <w:szCs w:val="24"/>
                <w:rtl w:val="0"/>
              </w:rPr>
              <w:t xml:space="preserve"> </w:t>
            </w:r>
            <w:r w:rsidDel="00000000" w:rsidR="00000000" w:rsidRPr="00000000">
              <w:rPr>
                <w:rFonts w:ascii="Arial" w:cs="Arial" w:eastAsia="Arial" w:hAnsi="Arial"/>
                <w:i w:val="1"/>
                <w:sz w:val="24"/>
                <w:szCs w:val="24"/>
                <w:rtl w:val="0"/>
              </w:rPr>
              <w:t xml:space="preserve">where multiple relationships have been identified above, please address the below rows in the table for in respect of each relationship identified] </w:t>
            </w:r>
          </w:p>
          <w:p w:rsidR="00000000" w:rsidDel="00000000" w:rsidP="00000000" w:rsidRDefault="00000000" w:rsidRPr="00000000" w14:paraId="00000085">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87">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[Clearly set out the duration of the Processing including dates]</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88">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89">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[Please be as specific as possible, but make sure that you cover all intended purposes. </w:t>
            </w:r>
          </w:p>
          <w:p w:rsidR="00000000" w:rsidDel="00000000" w:rsidP="00000000" w:rsidRDefault="00000000" w:rsidRPr="00000000" w14:paraId="0000008A">
            <w:pP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rsidR="00000000" w:rsidDel="00000000" w:rsidP="00000000" w:rsidRDefault="00000000" w:rsidRPr="00000000" w14:paraId="0000008B">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The purpose might include: employment processing, statutory obligation, recruitment assessment etc]</w:t>
            </w: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here include: name, address, date of birth, NI number, telephone number, pay, images, biometric data etc]</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8E">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8F">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[Examples include: Staff (including volunteers, agents, and temporary workers), customers/ clients, suppliers, patients, students / pupils, members of the public, users of a particular</w:t>
              <w:br w:type="textWrapping"/>
              <w:t xml:space="preserve">website etc]</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92">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[Describe how long the data will be retained for, how it be returned or destroyed]</w:t>
            </w:r>
            <w:r w:rsidDel="00000000" w:rsidR="00000000" w:rsidRPr="00000000">
              <w:rPr>
                <w:rtl w:val="0"/>
              </w:rPr>
            </w:r>
          </w:p>
        </w:tc>
      </w:tr>
    </w:tbl>
    <w:p w:rsidR="00000000" w:rsidDel="00000000" w:rsidP="00000000" w:rsidRDefault="00000000" w:rsidRPr="00000000" w14:paraId="00000093">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4">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95">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w:t>
      </w:r>
      <w:r w:rsidDel="00000000" w:rsidR="00000000" w:rsidRPr="00000000">
        <w:rPr>
          <w:rtl w:val="0"/>
        </w:rPr>
      </w:r>
    </w:p>
    <w:p w:rsidR="00000000" w:rsidDel="00000000" w:rsidP="00000000" w:rsidRDefault="00000000" w:rsidRPr="00000000" w14:paraId="00000096">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97">
      <w:pPr>
        <w:keepNext w:val="1"/>
        <w:rPr>
          <w:rFonts w:ascii="Arial" w:cs="Arial" w:eastAsia="Arial" w:hAnsi="Arial"/>
          <w:sz w:val="24"/>
          <w:szCs w:val="24"/>
        </w:rPr>
      </w:pPr>
      <w:bookmarkStart w:colFirst="0" w:colLast="0" w:name="_heading=h.gjdgxs" w:id="15"/>
      <w:bookmarkEnd w:id="15"/>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3-16 of Joint Schedule 11 (Where one Party is Controller and the other Party is Processor) and paragraphs 18-28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98">
      <w:pPr>
        <w:keepNext w:val="1"/>
        <w:rPr>
          <w:rFonts w:ascii="Arial" w:cs="Arial" w:eastAsia="Arial" w:hAnsi="Arial"/>
          <w:sz w:val="24"/>
          <w:szCs w:val="24"/>
        </w:rPr>
      </w:pPr>
      <w:r w:rsidDel="00000000" w:rsidR="00000000" w:rsidRPr="00000000">
        <w:rPr>
          <w:rFonts w:ascii="Arial" w:cs="Arial" w:eastAsia="Arial" w:hAnsi="Arial"/>
          <w:sz w:val="24"/>
          <w:szCs w:val="24"/>
          <w:highlight w:val="white"/>
          <w:rtl w:val="0"/>
        </w:rPr>
        <w:t xml:space="preserve">1.2 The Parties agree that the </w:t>
      </w:r>
      <w:r w:rsidDel="00000000" w:rsidR="00000000" w:rsidRPr="00000000">
        <w:rPr>
          <w:rFonts w:ascii="Arial" w:cs="Arial" w:eastAsia="Arial" w:hAnsi="Arial"/>
          <w:sz w:val="24"/>
          <w:szCs w:val="24"/>
          <w:highlight w:val="yellow"/>
          <w:rtl w:val="0"/>
        </w:rPr>
        <w:t xml:space="preserve">[Supplier/Relevant Authority]: </w:t>
      </w:r>
      <w:r w:rsidDel="00000000" w:rsidR="00000000" w:rsidRPr="00000000">
        <w:rPr>
          <w:rtl w:val="0"/>
        </w:rPr>
      </w:r>
    </w:p>
    <w:p w:rsidR="00000000" w:rsidDel="00000000" w:rsidP="00000000" w:rsidRDefault="00000000" w:rsidRPr="00000000" w14:paraId="00000099">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9A">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9B">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9C">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Deliverables where consent is the relevant legal basis for that Processing; and</w:t>
      </w:r>
    </w:p>
    <w:p w:rsidR="00000000" w:rsidDel="00000000" w:rsidP="00000000" w:rsidRDefault="00000000" w:rsidRPr="00000000" w14:paraId="0000009D">
      <w:pPr>
        <w:numPr>
          <w:ilvl w:val="2"/>
          <w:numId w:val="13"/>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[Supplier’s/Relevant Authority’s] privacy policy (which must be readily available by hyperlink or otherwise on all of its public facing services and marketing).</w:t>
      </w:r>
    </w:p>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9F">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A0">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the Relevant Authority each undertake that they shall: </w:t>
      </w:r>
    </w:p>
    <w:p w:rsidR="00000000" w:rsidDel="00000000" w:rsidP="00000000" w:rsidRDefault="00000000" w:rsidRPr="00000000" w14:paraId="000000A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every </w:t>
      </w:r>
      <w:r w:rsidDel="00000000" w:rsidR="00000000" w:rsidRPr="00000000">
        <w:rPr>
          <w:rFonts w:ascii="Arial" w:cs="Arial" w:eastAsia="Arial" w:hAnsi="Arial"/>
          <w:sz w:val="24"/>
          <w:szCs w:val="24"/>
          <w:highlight w:val="yellow"/>
          <w:rtl w:val="0"/>
        </w:rPr>
        <w:t xml:space="preserve">[x]</w:t>
      </w:r>
      <w:r w:rsidDel="00000000" w:rsidR="00000000" w:rsidRPr="00000000">
        <w:rPr>
          <w:rFonts w:ascii="Arial" w:cs="Arial" w:eastAsia="Arial" w:hAnsi="Arial"/>
          <w:sz w:val="24"/>
          <w:szCs w:val="24"/>
          <w:rtl w:val="0"/>
        </w:rPr>
        <w:t xml:space="preserve"> months on:</w:t>
      </w:r>
    </w:p>
    <w:p w:rsidR="00000000" w:rsidDel="00000000" w:rsidP="00000000" w:rsidRDefault="00000000" w:rsidRPr="00000000" w14:paraId="000000A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A3">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A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A5">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A6">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A7">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A8">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A9">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AA">
      <w:pPr>
        <w:numPr>
          <w:ilvl w:val="2"/>
          <w:numId w:val="8"/>
        </w:numPr>
        <w:pBdr>
          <w:top w:space="0" w:sz="0" w:val="nil"/>
          <w:left w:space="0" w:sz="0" w:val="nil"/>
          <w:bottom w:space="0" w:sz="0" w:val="nil"/>
          <w:right w:space="0" w:sz="0" w:val="nil"/>
          <w:between w:space="0" w:sz="0" w:val="nil"/>
        </w:pBdr>
        <w:tabs>
          <w:tab w:val="left" w:pos="4395"/>
        </w:tabs>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Deliverables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AB">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Deliverables and treat such extracted information as Confidential Information;</w:t>
      </w:r>
    </w:p>
    <w:p w:rsidR="00000000" w:rsidDel="00000000" w:rsidP="00000000" w:rsidRDefault="00000000" w:rsidRPr="00000000" w14:paraId="000000AC">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AD">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AE">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AF">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B0">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B1">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B2">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B3">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B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B5">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B6">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B7">
      <w:pPr>
        <w:numPr>
          <w:ilvl w:val="2"/>
          <w:numId w:val="8"/>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B8">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B9">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BA">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BB">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BC">
      <w:pPr>
        <w:numPr>
          <w:ilvl w:val="2"/>
          <w:numId w:val="10"/>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BD">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BE">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BF">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C0">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C1">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C2">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C3">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C4">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C5">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Supplier’s Data Protection Officer or other relevant contact from whom more information may be obtained;</w:t>
      </w:r>
    </w:p>
    <w:p w:rsidR="00000000" w:rsidDel="00000000" w:rsidP="00000000" w:rsidRDefault="00000000" w:rsidRPr="00000000" w14:paraId="000000C6">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C7">
      <w:pPr>
        <w:numPr>
          <w:ilvl w:val="2"/>
          <w:numId w:val="1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C8">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C9">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permit:</w:t>
        <w:tab/>
      </w:r>
    </w:p>
    <w:p w:rsidR="00000000" w:rsidDel="00000000" w:rsidP="00000000" w:rsidRDefault="00000000" w:rsidRPr="00000000" w14:paraId="000000CA">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Supplier’s data security and privacy procedures relating to Personal Data, its compliance with this Annex 2 and the Data Protection Legislation; and/or</w:t>
      </w:r>
    </w:p>
    <w:p w:rsidR="00000000" w:rsidDel="00000000" w:rsidP="00000000" w:rsidRDefault="00000000" w:rsidRPr="00000000" w14:paraId="000000CB">
      <w:pPr>
        <w:numPr>
          <w:ilvl w:val="2"/>
          <w:numId w:val="1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Supplier so far as relevant to the Contract, and procedures, including premises under the control of any third party appointed by the Supplier to assist in the provision of the Deliverables. </w:t>
      </w:r>
    </w:p>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D">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Supplier to provide evidence of the Supplier’s compliance with Clause 4.1 in lieu of conducting such an audit, assessment or inspection.</w:t>
      </w:r>
    </w:p>
    <w:p w:rsidR="00000000" w:rsidDel="00000000" w:rsidP="00000000" w:rsidRDefault="00000000" w:rsidRPr="00000000" w14:paraId="000000CE">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CF">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D0">
      <w:pPr>
        <w:numPr>
          <w:ilvl w:val="2"/>
          <w:numId w:val="1"/>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spacing w:after="120" w:before="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D3">
      <w:pPr>
        <w:keepNext w:val="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4">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D5">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Supplier amend the Contract to ensure that it complies with any guidance issued by the Information Commissioner and/or any relevant Central Government Body.</w:t>
      </w:r>
    </w:p>
    <w:p w:rsidR="00000000" w:rsidDel="00000000" w:rsidP="00000000" w:rsidRDefault="00000000" w:rsidRPr="00000000" w14:paraId="000000D6">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D7">
      <w:pPr>
        <w:ind w:left="720" w:firstLine="0"/>
        <w:rPr>
          <w:rFonts w:ascii="Arial" w:cs="Arial" w:eastAsia="Arial" w:hAnsi="Arial"/>
          <w:b w:val="1"/>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This clause represents a risk share, you may wish to reconsider the apportionment of liability and whether recoverability of losses are likely to be hindered by the contractual limitation of liability provisions] </w:t>
      </w:r>
      <w:r w:rsidDel="00000000" w:rsidR="00000000" w:rsidRPr="00000000">
        <w:rPr>
          <w:rtl w:val="0"/>
        </w:rPr>
      </w:r>
    </w:p>
    <w:p w:rsidR="00000000" w:rsidDel="00000000" w:rsidP="00000000" w:rsidRDefault="00000000" w:rsidRPr="00000000" w14:paraId="000000D8">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Supplier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p>
    <w:p w:rsidR="00000000" w:rsidDel="00000000" w:rsidP="00000000" w:rsidRDefault="00000000" w:rsidRPr="00000000" w14:paraId="000000D9">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Supplier)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Supplier shall provide to the Relevant Authority and its third party investigators and auditors, on request and at the Supplier's reasonable cost, full cooperation and access to conduct a thorough audit of such Personal Data Breach; </w:t>
      </w:r>
    </w:p>
    <w:p w:rsidR="00000000" w:rsidDel="00000000" w:rsidP="00000000" w:rsidRDefault="00000000" w:rsidRPr="00000000" w14:paraId="000000DA">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Supplier is responsible for the Personal Data Breach, in that it is not a Personal Data Breach that the Relevant Authority is responsible for, then the Supplier shall be responsible for the payment of these Financial Penalties. The Supplier will provide to the Relevant Authority and its auditors, on request and at the Supplier’s sole cost, full cooperation and access to conduct a thorough audit of such Personal Data Breach; or</w:t>
      </w:r>
    </w:p>
    <w:p w:rsidR="00000000" w:rsidDel="00000000" w:rsidP="00000000" w:rsidRDefault="00000000" w:rsidRPr="00000000" w14:paraId="000000DB">
      <w:pPr>
        <w:numPr>
          <w:ilvl w:val="2"/>
          <w:numId w:val="2"/>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Supplier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DC">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Supplier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DD">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DE">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DF">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responsible for the relevant Personal Data Breach, then the Supplier shall be responsible for the Claim Losses: and</w:t>
      </w:r>
    </w:p>
    <w:p w:rsidR="00000000" w:rsidDel="00000000" w:rsidP="00000000" w:rsidRDefault="00000000" w:rsidRPr="00000000" w14:paraId="000000E0">
      <w:pPr>
        <w:numPr>
          <w:ilvl w:val="2"/>
          <w:numId w:val="9"/>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Supplier shall be responsible for the Claim Losses equally. </w:t>
      </w:r>
    </w:p>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2">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Supplier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E3">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E4">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Supplier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E5">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E6">
      <w:pPr>
        <w:numPr>
          <w:ilvl w:val="3"/>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E7">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E8">
      <w:pPr>
        <w:numPr>
          <w:ilvl w:val="2"/>
          <w:numId w:val="5"/>
        </w:numPr>
        <w:pBdr>
          <w:top w:space="0" w:sz="0" w:val="nil"/>
          <w:left w:space="0" w:sz="0" w:val="nil"/>
          <w:bottom w:space="0" w:sz="0" w:val="nil"/>
          <w:right w:space="0" w:sz="0" w:val="nil"/>
          <w:between w:space="0" w:sz="0" w:val="nil"/>
        </w:pBdr>
        <w:spacing w:after="120" w:before="280" w:line="240" w:lineRule="auto"/>
        <w:ind w:left="809" w:hanging="709"/>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before="280" w:line="240" w:lineRule="auto"/>
        <w:ind w:left="809"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A">
      <w:pPr>
        <w:numPr>
          <w:ilvl w:val="2"/>
          <w:numId w:val="6"/>
        </w:numPr>
        <w:pBdr>
          <w:top w:space="0" w:sz="0" w:val="nil"/>
          <w:left w:space="0" w:sz="0" w:val="nil"/>
          <w:bottom w:space="0" w:sz="0" w:val="nil"/>
          <w:right w:space="0" w:sz="0" w:val="nil"/>
          <w:between w:space="0" w:sz="0" w:val="nil"/>
        </w:pBdr>
        <w:spacing w:after="24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79"/>
        </w:tabs>
        <w:spacing w:after="120" w:line="240" w:lineRule="auto"/>
        <w:ind w:left="720"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pos="-179"/>
        </w:tabs>
        <w:spacing w:after="120" w:line="240" w:lineRule="auto"/>
        <w:ind w:left="2160" w:hanging="2160"/>
        <w:jc w:val="both"/>
        <w:rPr>
          <w:rFonts w:ascii="Arial" w:cs="Arial" w:eastAsia="Arial" w:hAnsi="Arial"/>
          <w:color w:val="000000"/>
          <w:sz w:val="24"/>
          <w:szCs w:val="24"/>
        </w:rPr>
      </w:pPr>
      <w:r w:rsidDel="00000000" w:rsidR="00000000" w:rsidRPr="00000000">
        <w:rPr>
          <w:rtl w:val="0"/>
        </w:rPr>
      </w:r>
    </w:p>
    <w:bookmarkStart w:colFirst="0" w:colLast="0" w:name="bookmark=id.1ksv4uv" w:id="16"/>
    <w:bookmarkEnd w:id="16"/>
    <w:p w:rsidR="00000000" w:rsidDel="00000000" w:rsidP="00000000" w:rsidRDefault="00000000" w:rsidRPr="00000000" w14:paraId="000000ED">
      <w:pPr>
        <w:keepNext w:val="1"/>
        <w:pBdr>
          <w:top w:space="0" w:sz="0" w:val="nil"/>
          <w:left w:space="0" w:sz="0" w:val="nil"/>
          <w:bottom w:space="0" w:sz="0" w:val="nil"/>
          <w:right w:space="0" w:sz="0" w:val="nil"/>
          <w:between w:space="0" w:sz="0" w:val="nil"/>
        </w:pBdr>
        <w:spacing w:after="240" w:before="240" w:lineRule="auto"/>
        <w:ind w:left="720" w:hanging="720"/>
        <w:jc w:val="both"/>
        <w:rPr>
          <w:rFonts w:ascii="Arial" w:cs="Arial" w:eastAsia="Arial" w:hAnsi="Arial"/>
          <w:b w:val="1"/>
          <w:color w:val="000000"/>
          <w:sz w:val="24"/>
          <w:szCs w:val="24"/>
        </w:rPr>
      </w:pPr>
      <w:bookmarkStart w:colFirst="0" w:colLast="0" w:name="_heading=h.44sinio" w:id="17"/>
      <w:bookmarkEnd w:id="17"/>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Cambria"/>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3">
    <w:pPr>
      <w:spacing w:after="0" w:lineRule="auto"/>
      <w:rPr/>
    </w:pPr>
    <w:r w:rsidDel="00000000" w:rsidR="00000000" w:rsidRPr="00000000">
      <w:rPr>
        <w:rFonts w:ascii="Arial" w:cs="Arial" w:eastAsia="Arial" w:hAnsi="Arial"/>
        <w:sz w:val="20"/>
        <w:szCs w:val="20"/>
        <w:rtl w:val="0"/>
      </w:rPr>
      <w:t xml:space="preserve">Model Version: v3.0</w:t>
      <w:tab/>
      <w:tab/>
      <w:tab/>
      <w:tab/>
      <w:tab/>
      <w:tab/>
      <w:tab/>
      <w:tab/>
      <w:tab/>
    </w:r>
    <w:r w:rsidDel="00000000" w:rsidR="00000000" w:rsidRPr="00000000">
      <w:rPr>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RM6284 Cost Lawyers 2</w:t>
      <w:tab/>
      <w:t xml:space="preserve">                                           </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w:t>
    </w:r>
  </w:p>
  <w:p w:rsidR="00000000" w:rsidDel="00000000" w:rsidP="00000000" w:rsidRDefault="00000000" w:rsidRPr="00000000" w14:paraId="000000F6">
    <w:pPr>
      <w:spacing w:after="0" w:lineRule="auto"/>
      <w:rPr/>
    </w:pPr>
    <w:r w:rsidDel="00000000" w:rsidR="00000000" w:rsidRPr="00000000">
      <w:rPr>
        <w:rFonts w:ascii="Arial" w:cs="Arial" w:eastAsia="Arial" w:hAnsi="Arial"/>
        <w:sz w:val="20"/>
        <w:szCs w:val="20"/>
        <w:rtl w:val="0"/>
      </w:rPr>
      <w:t xml:space="preserve">Model Version: v4.5</w:t>
      <w:tab/>
      <w:tab/>
      <w:tab/>
      <w:tab/>
      <w:tab/>
      <w:tab/>
      <w:tab/>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-13330</wp:posOffset>
          </wp:positionV>
          <wp:extent cx="849085" cy="685627"/>
          <wp:effectExtent b="0" l="0" r="0" t="0"/>
          <wp:wrapNone/>
          <wp:docPr descr="Crown Commercial Service" id="5"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11 (Processing Data)</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spacing w:after="240" w:line="240" w:lineRule="auto"/>
      <w:ind w:left="567" w:hanging="567"/>
      <w:jc w:val="both"/>
    </w:pPr>
    <w:rPr>
      <w:rFonts w:ascii="Arial" w:cs="Arial" w:eastAsia="Arial" w:hAnsi="Arial"/>
    </w:rPr>
  </w:style>
  <w:style w:type="paragraph" w:styleId="Heading2">
    <w:name w:val="heading 2"/>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sz w:val="26"/>
      <w:szCs w:val="26"/>
    </w:rPr>
  </w:style>
  <w:style w:type="paragraph" w:styleId="Heading3">
    <w:name w:val="heading 3"/>
    <w:basedOn w:val="Normal"/>
    <w:next w:val="Normal"/>
    <w:pPr>
      <w:keepNext w:val="1"/>
      <w:keepLines w:val="1"/>
      <w:pBdr>
        <w:top w:space="0" w:sz="0" w:val="nil"/>
        <w:left w:space="0" w:sz="0" w:val="nil"/>
        <w:bottom w:space="0" w:sz="0" w:val="nil"/>
        <w:right w:space="0" w:sz="0" w:val="nil"/>
        <w:between w:space="0" w:sz="0" w:val="nil"/>
      </w:pBdr>
      <w:spacing w:after="0" w:before="200" w:line="240" w:lineRule="auto"/>
    </w:pPr>
    <w:rPr>
      <w:rFonts w:ascii="Cambria" w:cs="Cambria" w:eastAsia="Cambria" w:hAnsi="Cambria"/>
      <w:b w:val="1"/>
      <w:color w:val="000000"/>
    </w:rPr>
  </w:style>
  <w:style w:type="paragraph" w:styleId="Heading4">
    <w:name w:val="heading 4"/>
    <w:basedOn w:val="Normal"/>
    <w:next w:val="Normal"/>
    <w:pPr>
      <w:spacing w:after="240" w:line="240" w:lineRule="auto"/>
      <w:ind w:left="2268" w:hanging="850"/>
      <w:jc w:val="both"/>
    </w:pPr>
    <w:rPr>
      <w:rFonts w:ascii="Arial" w:cs="Arial" w:eastAsia="Arial" w:hAnsi="Arial"/>
    </w:rPr>
  </w:style>
  <w:style w:type="paragraph" w:styleId="Heading5">
    <w:name w:val="heading 5"/>
    <w:basedOn w:val="Normal"/>
    <w:next w:val="Normal"/>
    <w:pPr>
      <w:spacing w:after="240" w:line="240" w:lineRule="auto"/>
      <w:ind w:left="1985" w:hanging="566.9999999999999"/>
      <w:jc w:val="both"/>
    </w:pPr>
    <w:rPr>
      <w:rFonts w:ascii="Arial" w:cs="Arial" w:eastAsia="Arial" w:hAnsi="Arial"/>
    </w:rPr>
  </w:style>
  <w:style w:type="paragraph" w:styleId="Heading6">
    <w:name w:val="heading 6"/>
    <w:basedOn w:val="Normal"/>
    <w:next w:val="Normal"/>
    <w:pPr>
      <w:spacing w:after="240" w:line="240" w:lineRule="auto"/>
      <w:ind w:left="4320" w:hanging="72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val="1"/>
    <w:rsid w:val="002404A4"/>
    <w:pPr>
      <w:tabs>
        <w:tab w:val="num" w:pos="720"/>
      </w:tabs>
      <w:spacing w:after="240" w:line="240" w:lineRule="auto"/>
      <w:ind w:left="567" w:hanging="567"/>
      <w:jc w:val="both"/>
      <w:outlineLvl w:val="0"/>
    </w:pPr>
    <w:rPr>
      <w:rFonts w:ascii="Arial" w:cs="Arial" w:hAnsi="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1"/>
    </w:pPr>
    <w:rPr>
      <w:rFonts w:ascii="Cambria" w:cs="Cambria" w:eastAsia="Cambria" w:hAnsi="Cambria"/>
      <w:b w:val="1"/>
      <w:color w:val="000000"/>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val="1"/>
    <w:rsid w:val="00D50719"/>
    <w:pPr>
      <w:keepNext w:val="1"/>
      <w:keepLines w:val="1"/>
      <w:pBdr>
        <w:top w:space="0" w:sz="0" w:val="nil"/>
        <w:left w:space="0" w:sz="0" w:val="nil"/>
        <w:bottom w:space="0" w:sz="0" w:val="nil"/>
        <w:right w:space="0" w:sz="0" w:val="nil"/>
        <w:between w:space="0" w:sz="0" w:val="nil"/>
      </w:pBdr>
      <w:spacing w:after="0" w:before="200" w:line="240" w:lineRule="auto"/>
      <w:outlineLvl w:val="2"/>
    </w:pPr>
    <w:rPr>
      <w:rFonts w:ascii="Cambria" w:cs="Cambria" w:eastAsia="Cambria" w:hAnsi="Cambria"/>
      <w:b w:val="1"/>
      <w:color w:val="000000"/>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val="1"/>
    <w:unhideWhenUsed w:val="1"/>
    <w:qFormat w:val="1"/>
    <w:rsid w:val="002404A4"/>
    <w:pPr>
      <w:tabs>
        <w:tab w:val="num" w:pos="2268"/>
      </w:tabs>
      <w:spacing w:after="240" w:line="240" w:lineRule="auto"/>
      <w:ind w:left="2268" w:hanging="850"/>
      <w:jc w:val="both"/>
      <w:outlineLvl w:val="3"/>
    </w:pPr>
    <w:rPr>
      <w:rFonts w:ascii="Arial" w:cs="Arial" w:hAnsi="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val="1"/>
    <w:unhideWhenUsed w:val="1"/>
    <w:qFormat w:val="1"/>
    <w:rsid w:val="002404A4"/>
    <w:pPr>
      <w:tabs>
        <w:tab w:val="num" w:pos="1985"/>
      </w:tabs>
      <w:spacing w:after="240" w:line="240" w:lineRule="auto"/>
      <w:ind w:left="1985" w:hanging="567"/>
      <w:jc w:val="both"/>
      <w:outlineLvl w:val="4"/>
    </w:pPr>
    <w:rPr>
      <w:rFonts w:ascii="Arial" w:cs="Arial" w:hAnsi="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val="1"/>
    <w:unhideWhenUsed w:val="1"/>
    <w:qFormat w:val="1"/>
    <w:rsid w:val="002404A4"/>
    <w:pPr>
      <w:tabs>
        <w:tab w:val="num" w:pos="4320"/>
      </w:tabs>
      <w:spacing w:after="240" w:line="240" w:lineRule="auto"/>
      <w:ind w:left="4320" w:hanging="720"/>
      <w:jc w:val="both"/>
      <w:outlineLvl w:val="5"/>
    </w:pPr>
    <w:rPr>
      <w:rFonts w:ascii="Arial" w:cs="Arial" w:hAnsi="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val="1"/>
    <w:unhideWhenUsed w:val="1"/>
    <w:qFormat w:val="1"/>
    <w:rsid w:val="002404A4"/>
    <w:pPr>
      <w:tabs>
        <w:tab w:val="num" w:pos="5040"/>
      </w:tabs>
      <w:spacing w:after="240" w:line="240" w:lineRule="auto"/>
      <w:ind w:left="5040" w:hanging="720"/>
      <w:jc w:val="both"/>
      <w:outlineLvl w:val="6"/>
    </w:pPr>
    <w:rPr>
      <w:rFonts w:ascii="Times New Roman" w:cs="Times New Roman" w:hAnsi="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val="1"/>
    <w:unhideWhenUsed w:val="1"/>
    <w:qFormat w:val="1"/>
    <w:rsid w:val="002404A4"/>
    <w:pPr>
      <w:tabs>
        <w:tab w:val="num" w:pos="5040"/>
      </w:tabs>
      <w:spacing w:after="240" w:line="240" w:lineRule="auto"/>
      <w:ind w:left="5040" w:hanging="720"/>
      <w:jc w:val="both"/>
      <w:outlineLvl w:val="7"/>
    </w:pPr>
    <w:rPr>
      <w:rFonts w:ascii="Times New Roman" w:cs="Times New Roman" w:hAnsi="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val="1"/>
    <w:unhideWhenUsed w:val="1"/>
    <w:qFormat w:val="1"/>
    <w:rsid w:val="002404A4"/>
    <w:pPr>
      <w:tabs>
        <w:tab w:val="num" w:pos="5040"/>
      </w:tabs>
      <w:spacing w:after="240" w:line="240" w:lineRule="auto"/>
      <w:ind w:left="5040" w:hanging="720"/>
      <w:jc w:val="both"/>
      <w:outlineLvl w:val="8"/>
    </w:pPr>
    <w:rPr>
      <w:rFonts w:ascii="Times New Roman" w:cs="Times New Roman" w:hAnsi="Times New Roman"/>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TSOLScheduleAnnexName" w:customStyle="1">
    <w:name w:val="TSOL Schedule Annex Name"/>
    <w:qFormat w:val="1"/>
    <w:pPr>
      <w:spacing w:after="240" w:line="240" w:lineRule="auto"/>
      <w:jc w:val="center"/>
      <w:outlineLvl w:val="1"/>
    </w:pPr>
    <w:rPr>
      <w:rFonts w:cs="Arial" w:eastAsia="STZhongsong"/>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GPSL2Numbered" w:customStyle="1">
    <w:name w:val="GPS L2 Numbered"/>
    <w:basedOn w:val="Normal"/>
    <w:link w:val="GPSL2NumberedChar"/>
    <w:qFormat w:val="1"/>
    <w:pPr>
      <w:tabs>
        <w:tab w:val="left" w:pos="709"/>
        <w:tab w:val="left" w:pos="1134"/>
      </w:tabs>
      <w:adjustRightInd w:val="0"/>
      <w:spacing w:after="120" w:before="120" w:line="240" w:lineRule="auto"/>
      <w:jc w:val="both"/>
    </w:pPr>
    <w:rPr>
      <w:rFonts w:cs="Arial" w:eastAsia="Times New Roman"/>
      <w:lang w:eastAsia="zh-CN"/>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Revision">
    <w:name w:val="Revision"/>
    <w:hidden w:val="1"/>
    <w:uiPriority w:val="99"/>
    <w:semiHidden w:val="1"/>
    <w:rsid w:val="00F42B75"/>
    <w:pPr>
      <w:spacing w:after="0" w:line="240" w:lineRule="auto"/>
    </w:pPr>
  </w:style>
  <w:style w:type="paragraph" w:styleId="ScheduleTitleClause" w:customStyle="1">
    <w:name w:val="Schedule Title Clause"/>
    <w:basedOn w:val="Normal"/>
    <w:rsid w:val="002771AA"/>
    <w:pPr>
      <w:keepNext w:val="1"/>
      <w:numPr>
        <w:ilvl w:val="2"/>
        <w:numId w:val="1"/>
      </w:numPr>
      <w:spacing w:after="240" w:before="240" w:line="300" w:lineRule="atLeast"/>
      <w:jc w:val="both"/>
      <w:outlineLvl w:val="0"/>
    </w:pPr>
    <w:rPr>
      <w:rFonts w:ascii="Arial" w:cs="Times New Roman" w:eastAsia="Times New Roman" w:hAnsi="Arial"/>
      <w:b w:val="1"/>
      <w:color w:val="000000"/>
      <w:kern w:val="28"/>
      <w:szCs w:val="20"/>
    </w:rPr>
  </w:style>
  <w:style w:type="paragraph" w:styleId="ScheduleUntitledsubclause1" w:customStyle="1">
    <w:name w:val="Schedule Untitled subclause 1"/>
    <w:basedOn w:val="Normal"/>
    <w:rsid w:val="002771AA"/>
    <w:pPr>
      <w:numPr>
        <w:ilvl w:val="3"/>
        <w:numId w:val="1"/>
      </w:numPr>
      <w:spacing w:after="120" w:before="280" w:line="300" w:lineRule="atLeast"/>
      <w:jc w:val="both"/>
      <w:outlineLvl w:val="1"/>
    </w:pPr>
    <w:rPr>
      <w:rFonts w:ascii="Arial" w:cs="Times New Roman" w:eastAsia="Times New Roman" w:hAnsi="Arial"/>
      <w:color w:val="000000"/>
      <w:szCs w:val="20"/>
    </w:rPr>
  </w:style>
  <w:style w:type="paragraph" w:styleId="ScheduleUntitledsubclause2" w:customStyle="1">
    <w:name w:val="Schedule Untitled subclause 2"/>
    <w:basedOn w:val="Normal"/>
    <w:rsid w:val="002771AA"/>
    <w:pPr>
      <w:numPr>
        <w:ilvl w:val="4"/>
        <w:numId w:val="1"/>
      </w:numPr>
      <w:spacing w:after="120" w:line="300" w:lineRule="atLeast"/>
      <w:jc w:val="both"/>
      <w:outlineLvl w:val="2"/>
    </w:pPr>
    <w:rPr>
      <w:rFonts w:ascii="Arial" w:cs="Times New Roman" w:eastAsia="Times New Roman" w:hAnsi="Arial"/>
      <w:color w:val="000000"/>
      <w:szCs w:val="20"/>
    </w:rPr>
  </w:style>
  <w:style w:type="paragraph" w:styleId="ScheduleUntitledsubclause3" w:customStyle="1">
    <w:name w:val="Schedule Untitled subclause 3"/>
    <w:basedOn w:val="Normal"/>
    <w:rsid w:val="002771AA"/>
    <w:pPr>
      <w:numPr>
        <w:ilvl w:val="5"/>
        <w:numId w:val="1"/>
      </w:numPr>
      <w:tabs>
        <w:tab w:val="left" w:pos="2261"/>
      </w:tabs>
      <w:spacing w:after="120" w:line="300" w:lineRule="atLeast"/>
      <w:jc w:val="both"/>
      <w:outlineLvl w:val="3"/>
    </w:pPr>
    <w:rPr>
      <w:rFonts w:ascii="Arial" w:cs="Times New Roman" w:eastAsia="Times New Roman" w:hAnsi="Arial"/>
      <w:color w:val="000000"/>
      <w:szCs w:val="20"/>
    </w:rPr>
  </w:style>
  <w:style w:type="paragraph" w:styleId="Schedule" w:customStyle="1">
    <w:name w:val="Schedule"/>
    <w:qFormat w:val="1"/>
    <w:rsid w:val="002771AA"/>
    <w:pPr>
      <w:numPr>
        <w:numId w:val="1"/>
      </w:numPr>
      <w:spacing w:after="240" w:before="240" w:line="240" w:lineRule="atLeast"/>
    </w:pPr>
    <w:rPr>
      <w:rFonts w:ascii="Arial" w:cs="Times New Roman" w:eastAsia="Times New Roman" w:hAnsi="Arial"/>
      <w:b w:val="1"/>
      <w:color w:val="000000"/>
      <w:lang w:val="en-US"/>
    </w:rPr>
  </w:style>
  <w:style w:type="paragraph" w:styleId="Part" w:customStyle="1">
    <w:name w:val="Part"/>
    <w:basedOn w:val="Normal"/>
    <w:qFormat w:val="1"/>
    <w:rsid w:val="002771AA"/>
    <w:pPr>
      <w:numPr>
        <w:ilvl w:val="1"/>
        <w:numId w:val="1"/>
      </w:numPr>
      <w:spacing w:after="240" w:before="240" w:line="300" w:lineRule="atLeast"/>
    </w:pPr>
    <w:rPr>
      <w:rFonts w:ascii="Arial" w:cs="Times New Roman" w:eastAsia="Times New Roman" w:hAnsi="Arial"/>
      <w:b w:val="1"/>
      <w:color w:val="000000"/>
      <w:szCs w:val="20"/>
    </w:rPr>
  </w:style>
  <w:style w:type="paragraph" w:styleId="NormalWeb">
    <w:name w:val="Normal (Web)"/>
    <w:basedOn w:val="Normal"/>
    <w:uiPriority w:val="99"/>
    <w:unhideWhenUsed w:val="1"/>
    <w:rsid w:val="00712566"/>
    <w:pPr>
      <w:spacing w:after="100" w:afterAutospacing="1" w:before="100" w:beforeAutospacing="1" w:line="240" w:lineRule="auto"/>
    </w:pPr>
    <w:rPr>
      <w:rFonts w:ascii="Times New Roman" w:cs="Times New Roman" w:hAnsi="Times New Roman"/>
      <w:sz w:val="24"/>
      <w:szCs w:val="24"/>
    </w:rPr>
  </w:style>
  <w:style w:type="character" w:styleId="gmail-apple-tab-span" w:customStyle="1">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val="1"/>
    <w:rsid w:val="000859BA"/>
    <w:pPr>
      <w:suppressAutoHyphens w:val="1"/>
      <w:autoSpaceDN w:val="0"/>
      <w:ind w:left="720"/>
      <w:textAlignment w:val="baseline"/>
    </w:pPr>
    <w:rPr>
      <w:rFonts w:cs="Times New Roman"/>
    </w:rPr>
  </w:style>
  <w:style w:type="paragraph" w:styleId="GPsDefinition" w:customStyle="1">
    <w:name w:val="GPs Definition"/>
    <w:basedOn w:val="Normal"/>
    <w:qFormat w:val="1"/>
    <w:rsid w:val="000859BA"/>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character" w:styleId="Heading2Char" w:customStyle="1">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cs="Cambria" w:eastAsia="Cambria" w:hAnsi="Cambria"/>
      <w:b w:val="1"/>
      <w:color w:val="000000"/>
      <w:sz w:val="26"/>
      <w:szCs w:val="26"/>
      <w:lang w:eastAsia="en-GB"/>
    </w:rPr>
  </w:style>
  <w:style w:type="character" w:styleId="Heading3Char" w:customStyle="1">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cs="Cambria" w:eastAsia="Cambria" w:hAnsi="Cambria"/>
      <w:b w:val="1"/>
      <w:color w:val="000000"/>
      <w:lang w:eastAsia="en-GB"/>
    </w:rPr>
  </w:style>
  <w:style w:type="character" w:styleId="Heading1Char" w:customStyle="1">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cs="Arial" w:hAnsi="Arial"/>
      <w:lang w:eastAsia="zh-CN"/>
    </w:rPr>
  </w:style>
  <w:style w:type="character" w:styleId="Heading4Char" w:customStyle="1">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val="1"/>
    <w:rsid w:val="002404A4"/>
    <w:rPr>
      <w:rFonts w:ascii="Arial" w:cs="Arial" w:hAnsi="Arial"/>
      <w:lang w:eastAsia="zh-CN"/>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val="1"/>
    <w:rsid w:val="002404A4"/>
    <w:rPr>
      <w:rFonts w:ascii="Arial" w:cs="Arial" w:hAnsi="Arial"/>
      <w:lang w:eastAsia="zh-CN"/>
    </w:rPr>
  </w:style>
  <w:style w:type="character" w:styleId="Heading6Char" w:customStyle="1">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val="1"/>
    <w:rsid w:val="002404A4"/>
    <w:rPr>
      <w:rFonts w:ascii="Arial" w:cs="Arial" w:hAnsi="Arial"/>
      <w:lang w:eastAsia="zh-CN"/>
    </w:rPr>
  </w:style>
  <w:style w:type="character" w:styleId="Heading7Char" w:customStyle="1">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val="1"/>
    <w:rsid w:val="002404A4"/>
    <w:rPr>
      <w:rFonts w:ascii="Times New Roman" w:cs="Times New Roman" w:hAnsi="Times New Roman"/>
      <w:lang w:eastAsia="zh-CN"/>
    </w:rPr>
  </w:style>
  <w:style w:type="character" w:styleId="Heading8Char" w:customStyle="1">
    <w:name w:val="Heading 8 Char"/>
    <w:aliases w:val="Heading 8 (Do Not Use) Char,Legal Level 1.1.1. Char,Lev 8 Char,h8 DO NOT USE Char,PA Appendix Minor Char,Blank 4 Char,code/paths Char"/>
    <w:basedOn w:val="DefaultParagraphFont"/>
    <w:link w:val="Heading8"/>
    <w:uiPriority w:val="9"/>
    <w:semiHidden w:val="1"/>
    <w:rsid w:val="002404A4"/>
    <w:rPr>
      <w:rFonts w:ascii="Times New Roman" w:cs="Times New Roman" w:hAnsi="Times New Roman"/>
      <w:lang w:eastAsia="zh-CN"/>
    </w:rPr>
  </w:style>
  <w:style w:type="character" w:styleId="Heading9Char" w:customStyle="1">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val="1"/>
    <w:rsid w:val="002404A4"/>
    <w:rPr>
      <w:rFonts w:ascii="Times New Roman" w:cs="Times New Roman" w:hAnsi="Times New Roman"/>
      <w:lang w:eastAsia="zh-CN"/>
    </w:rPr>
  </w:style>
  <w:style w:type="paragraph" w:styleId="GPSDefinitionL2" w:customStyle="1">
    <w:name w:val="GPS Definition L2"/>
    <w:basedOn w:val="GPsDefinition"/>
    <w:qFormat w:val="1"/>
    <w:rsid w:val="002404A4"/>
    <w:pPr>
      <w:tabs>
        <w:tab w:val="clear" w:pos="-179"/>
        <w:tab w:val="left" w:pos="175"/>
      </w:tabs>
      <w:adjustRightInd w:val="0"/>
      <w:ind w:left="1440" w:hanging="544"/>
    </w:pPr>
    <w:rPr>
      <w:rFonts w:ascii="Calibri" w:hAnsi="Calibri"/>
    </w:rPr>
  </w:style>
  <w:style w:type="paragraph" w:styleId="GPSDefinitionL3" w:customStyle="1">
    <w:name w:val="GPS Definition L3"/>
    <w:basedOn w:val="GPSDefinitionL2"/>
    <w:qFormat w:val="1"/>
    <w:rsid w:val="002404A4"/>
    <w:pPr>
      <w:ind w:left="1800" w:hanging="360"/>
    </w:pPr>
  </w:style>
  <w:style w:type="paragraph" w:styleId="GPSDefinitionL4" w:customStyle="1">
    <w:name w:val="GPS Definition L4"/>
    <w:basedOn w:val="GPSDefinitionL3"/>
    <w:qFormat w:val="1"/>
    <w:rsid w:val="002404A4"/>
    <w:pPr>
      <w:ind w:left="2160"/>
    </w:pPr>
  </w:style>
  <w:style w:type="character" w:styleId="ListParagraphChar" w:customStyle="1">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val="1"/>
    <w:rsid w:val="002404A4"/>
    <w:rPr>
      <w:rFonts w:ascii="Calibri" w:cs="Times New Roman" w:eastAsia="Calibri" w:hAnsi="Calibri"/>
    </w:rPr>
  </w:style>
  <w:style w:type="paragraph" w:styleId="ABackground" w:customStyle="1">
    <w:name w:val="(A) Background"/>
    <w:basedOn w:val="Normal"/>
    <w:rsid w:val="002404A4"/>
    <w:pPr>
      <w:numPr>
        <w:numId w:val="14"/>
      </w:numPr>
      <w:spacing w:after="120" w:before="120" w:line="300" w:lineRule="atLeast"/>
      <w:jc w:val="both"/>
    </w:pPr>
    <w:rPr>
      <w:rFonts w:ascii="Times New Roman" w:cs="Times New Roman" w:hAnsi="Times New Roman"/>
    </w:rPr>
  </w:style>
  <w:style w:type="paragraph" w:styleId="BackSubClause" w:customStyle="1">
    <w:name w:val="BackSubClause"/>
    <w:basedOn w:val="Normal"/>
    <w:rsid w:val="002404A4"/>
    <w:pPr>
      <w:numPr>
        <w:ilvl w:val="1"/>
        <w:numId w:val="14"/>
      </w:numPr>
      <w:spacing w:after="0" w:line="300" w:lineRule="atLeast"/>
      <w:jc w:val="both"/>
    </w:pPr>
    <w:rPr>
      <w:rFonts w:ascii="Times New Roman" w:cs="Times New Roman" w:hAnsi="Times New Roman"/>
    </w:rPr>
  </w:style>
  <w:style w:type="paragraph" w:styleId="TLTLevel1" w:customStyle="1">
    <w:name w:val="TLT Level 1"/>
    <w:basedOn w:val="Normal"/>
    <w:rsid w:val="002404A4"/>
    <w:pPr>
      <w:tabs>
        <w:tab w:val="num" w:pos="720"/>
      </w:tabs>
      <w:spacing w:before="100" w:line="240" w:lineRule="auto"/>
      <w:ind w:left="720" w:hanging="720"/>
    </w:pPr>
    <w:rPr>
      <w:rFonts w:ascii="Arial" w:cs="Arial" w:hAnsi="Arial"/>
      <w:sz w:val="20"/>
      <w:szCs w:val="20"/>
    </w:rPr>
  </w:style>
  <w:style w:type="character" w:styleId="TLTLevel2Char" w:customStyle="1">
    <w:name w:val="TLT Level 2 Char"/>
    <w:basedOn w:val="DefaultParagraphFont"/>
    <w:link w:val="TLTLevel2"/>
    <w:locked w:val="1"/>
    <w:rsid w:val="002404A4"/>
  </w:style>
  <w:style w:type="paragraph" w:styleId="TLTLevel2" w:customStyle="1">
    <w:name w:val="TLT Level 2"/>
    <w:basedOn w:val="Normal"/>
    <w:link w:val="TLTLevel2Char"/>
    <w:rsid w:val="002404A4"/>
    <w:pPr>
      <w:tabs>
        <w:tab w:val="num" w:pos="1440"/>
      </w:tabs>
      <w:spacing w:before="100" w:line="240" w:lineRule="auto"/>
      <w:ind w:left="1440" w:hanging="720"/>
    </w:pPr>
  </w:style>
  <w:style w:type="paragraph" w:styleId="TLTLevel3" w:customStyle="1">
    <w:name w:val="TLT Level 3"/>
    <w:basedOn w:val="Normal"/>
    <w:rsid w:val="002404A4"/>
    <w:pPr>
      <w:numPr>
        <w:ilvl w:val="2"/>
        <w:numId w:val="15"/>
      </w:numPr>
      <w:spacing w:before="100" w:line="240" w:lineRule="auto"/>
      <w:ind w:hanging="180"/>
    </w:pPr>
    <w:rPr>
      <w:rFonts w:ascii="Times New Roman" w:cs="Times New Roman" w:hAnsi="Times New Roman"/>
    </w:rPr>
  </w:style>
  <w:style w:type="paragraph" w:styleId="TLTLevel4" w:customStyle="1">
    <w:name w:val="TLT Level 4"/>
    <w:basedOn w:val="Normal"/>
    <w:rsid w:val="002404A4"/>
    <w:pPr>
      <w:numPr>
        <w:ilvl w:val="3"/>
        <w:numId w:val="15"/>
      </w:numPr>
      <w:spacing w:before="100" w:line="240" w:lineRule="auto"/>
      <w:ind w:hanging="360"/>
    </w:pPr>
    <w:rPr>
      <w:rFonts w:ascii="Times New Roman" w:cs="Times New Roman" w:hAnsi="Times New Roman"/>
    </w:rPr>
  </w:style>
  <w:style w:type="paragraph" w:styleId="TLTLevel5" w:customStyle="1">
    <w:name w:val="TLT Level 5"/>
    <w:basedOn w:val="Normal"/>
    <w:rsid w:val="002404A4"/>
    <w:pPr>
      <w:numPr>
        <w:ilvl w:val="4"/>
        <w:numId w:val="15"/>
      </w:numPr>
      <w:spacing w:before="100" w:line="240" w:lineRule="auto"/>
      <w:ind w:hanging="360"/>
    </w:pPr>
    <w:rPr>
      <w:rFonts w:ascii="Times New Roman" w:cs="Times New Roman" w:hAnsi="Times New Roman"/>
    </w:rPr>
  </w:style>
  <w:style w:type="numbering" w:styleId="Level" w:customStyle="1">
    <w:name w:val="Level"/>
    <w:uiPriority w:val="99"/>
    <w:rsid w:val="002404A4"/>
  </w:style>
  <w:style w:type="paragraph" w:styleId="BodyText">
    <w:name w:val="Body Text"/>
    <w:basedOn w:val="Normal"/>
    <w:link w:val="BodyTextChar"/>
    <w:uiPriority w:val="99"/>
    <w:rsid w:val="006D1BF4"/>
    <w:pPr>
      <w:spacing w:after="220" w:line="240" w:lineRule="auto"/>
      <w:jc w:val="both"/>
    </w:pPr>
    <w:rPr>
      <w:rFonts w:ascii="Trebuchet MS" w:cs="Times New Roman" w:eastAsia="Times New Roman" w:hAnsi="Trebuchet MS"/>
      <w:sz w:val="20"/>
      <w:szCs w:val="20"/>
    </w:rPr>
  </w:style>
  <w:style w:type="character" w:styleId="BodyTextChar" w:customStyle="1">
    <w:name w:val="Body Text Char"/>
    <w:basedOn w:val="DefaultParagraphFont"/>
    <w:link w:val="BodyText"/>
    <w:uiPriority w:val="99"/>
    <w:rsid w:val="006D1BF4"/>
    <w:rPr>
      <w:rFonts w:ascii="Trebuchet MS" w:cs="Times New Roman" w:eastAsia="Times New Roman" w:hAnsi="Trebuchet MS"/>
      <w:sz w:val="20"/>
      <w:szCs w:val="20"/>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color w:val="000000"/>
      <w:sz w:val="20"/>
      <w:szCs w:val="20"/>
    </w:rPr>
    <w:tblPr>
      <w:tblStyleRowBandSize w:val="1"/>
      <w:tblStyleColBandSize w:val="1"/>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qip/PGGS6RRf8rWWPQYBExFkJw==">AMUW2mW+59WfGrzIiUSJqmX03Q1NrWO0jjs8YNIo2TzbPw4BAMAvix3ZdIZ9Q3FYvktMI6NCm7MIl9Xsru5aMXbV7x7UyM3xVYWnACsjLZB/A5rYJA+Ma8C57t1f3zbdOuc3Y76LYrfZ+CJYqEn3K8o06jxNW0AlIzzLYhixeLThnCXGY831gXiR3H+ekDCDu1w8MgWOi4YI86JrNcIjmEfEoe+dIrLZyY1lU70kDFX13K2djKdwSSke1FIVTWJ0/92YFgGb7Pos7+AxLYnTAt9B2FvjB/kNNmSQkFRxdj5oJbGt1XCeGD+KdY8VN635laJTkT3pNL7vWAXuniZtdloCWsoqKtEmaNfwNB8t2tKbStbL1/eG/ULq2KDTbKmVsdsfazaQtPtIKMjBEnP++L6shgePZCINFrGH9JMKqG2LXJT6rHB4tM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2021-02-25T18:36:00Z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